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42E" w:rsidRDefault="002A342E" w:rsidP="002A342E">
      <w:pPr>
        <w:jc w:val="center"/>
        <w:rPr>
          <w:b/>
          <w:sz w:val="72"/>
          <w:szCs w:val="72"/>
        </w:rPr>
      </w:pPr>
      <w:bookmarkStart w:id="0" w:name="_GoBack"/>
      <w:r w:rsidRPr="002A342E">
        <w:rPr>
          <w:b/>
          <w:sz w:val="72"/>
          <w:szCs w:val="72"/>
        </w:rPr>
        <w:t>Wet season monitoring</w:t>
      </w:r>
    </w:p>
    <w:p w:rsidR="006209EA" w:rsidRPr="002A342E" w:rsidRDefault="002A342E" w:rsidP="002A342E">
      <w:pPr>
        <w:jc w:val="center"/>
        <w:rPr>
          <w:b/>
          <w:sz w:val="72"/>
          <w:szCs w:val="72"/>
        </w:rPr>
      </w:pPr>
      <w:r w:rsidRPr="002A342E">
        <w:rPr>
          <w:b/>
          <w:sz w:val="72"/>
          <w:szCs w:val="72"/>
        </w:rPr>
        <w:t>Report</w:t>
      </w:r>
    </w:p>
    <w:bookmarkEnd w:id="0"/>
    <w:p w:rsidR="006209EA" w:rsidRDefault="006209EA"/>
    <w:p w:rsidR="006209EA" w:rsidRDefault="006209EA"/>
    <w:p w:rsidR="009B7DEA" w:rsidRPr="00C27A42" w:rsidRDefault="006209EA">
      <w:r>
        <w:t xml:space="preserve">                                                                                  </w:t>
      </w:r>
      <w:r>
        <w:tab/>
      </w:r>
      <w:r>
        <w:tab/>
      </w:r>
      <w:r>
        <w:tab/>
      </w:r>
      <w:r>
        <w:tab/>
      </w:r>
      <w:r>
        <w:tab/>
      </w:r>
      <w:r>
        <w:tab/>
      </w:r>
      <w:r>
        <w:tab/>
      </w:r>
      <w:r>
        <w:tab/>
      </w:r>
    </w:p>
    <w:p w:rsidR="002A342E" w:rsidRPr="002A342E" w:rsidRDefault="002A342E" w:rsidP="002A342E">
      <w:pPr>
        <w:rPr>
          <w:sz w:val="32"/>
          <w:szCs w:val="32"/>
        </w:rPr>
      </w:pPr>
      <w:r>
        <w:rPr>
          <w:vertAlign w:val="subscript"/>
        </w:rPr>
        <w:t xml:space="preserve">                                  </w:t>
      </w:r>
      <w:r w:rsidR="00B67B19">
        <w:rPr>
          <w:vertAlign w:val="subscript"/>
        </w:rPr>
        <w:t xml:space="preserve">                              </w:t>
      </w:r>
      <w:r>
        <w:rPr>
          <w:vertAlign w:val="subscript"/>
        </w:rPr>
        <w:t xml:space="preserve">     </w:t>
      </w:r>
      <w:r w:rsidR="00AD0125">
        <w:rPr>
          <w:b/>
          <w:noProof/>
        </w:rPr>
        <mc:AlternateContent>
          <mc:Choice Requires="wps">
            <w:drawing>
              <wp:anchor distT="0" distB="0" distL="114300" distR="114300" simplePos="0" relativeHeight="251657216" behindDoc="0" locked="0" layoutInCell="1" allowOverlap="1">
                <wp:simplePos x="0" y="0"/>
                <wp:positionH relativeFrom="column">
                  <wp:posOffset>2409190</wp:posOffset>
                </wp:positionH>
                <wp:positionV relativeFrom="paragraph">
                  <wp:posOffset>4445</wp:posOffset>
                </wp:positionV>
                <wp:extent cx="252095" cy="266700"/>
                <wp:effectExtent l="0" t="444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42E" w:rsidRPr="00851B65" w:rsidRDefault="002A342E" w:rsidP="002A342E">
                            <w:pPr>
                              <w:ind w:left="399" w:hanging="399"/>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9.7pt;margin-top:.35pt;width:19.85pt;height:2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" stroked="f">
                <v:textbox style="mso-fit-shape-to-text:t">
                  <w:txbxContent>
                    <w:p w:rsidR="002A342E" w:rsidRPr="00851B65" w:rsidRDefault="002A342E" w:rsidP="002A342E">
                      <w:pPr>
                        <w:ind w:left="399" w:hanging="399"/>
                        <w:jc w:val="center"/>
                      </w:pPr>
                    </w:p>
                  </w:txbxContent>
                </v:textbox>
              </v:shape>
            </w:pict>
          </mc:Fallback>
        </mc:AlternateContent>
      </w:r>
      <w:r w:rsidR="00AD0125" w:rsidRPr="00851B65">
        <w:rPr>
          <w:noProof/>
        </w:rPr>
        <w:drawing>
          <wp:inline distT="0" distB="0" distL="0" distR="0">
            <wp:extent cx="2914650" cy="264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4650" cy="2647950"/>
                    </a:xfrm>
                    <a:prstGeom prst="rect">
                      <a:avLst/>
                    </a:prstGeom>
                    <a:noFill/>
                    <a:ln>
                      <a:noFill/>
                    </a:ln>
                  </pic:spPr>
                </pic:pic>
              </a:graphicData>
            </a:graphic>
          </wp:inline>
        </w:drawing>
      </w:r>
    </w:p>
    <w:p w:rsidR="002A342E" w:rsidRDefault="002A342E" w:rsidP="002A342E">
      <w:pPr>
        <w:rPr>
          <w:b/>
          <w:sz w:val="32"/>
          <w:szCs w:val="32"/>
        </w:rPr>
      </w:pPr>
    </w:p>
    <w:p w:rsidR="002A342E" w:rsidRDefault="002A342E" w:rsidP="002A342E">
      <w:pPr>
        <w:rPr>
          <w:b/>
          <w:sz w:val="32"/>
          <w:szCs w:val="32"/>
        </w:rPr>
      </w:pPr>
    </w:p>
    <w:p w:rsidR="00FF52A0" w:rsidRDefault="00FF52A0" w:rsidP="002A342E">
      <w:pPr>
        <w:rPr>
          <w:b/>
          <w:sz w:val="32"/>
          <w:szCs w:val="32"/>
        </w:rPr>
      </w:pPr>
    </w:p>
    <w:p w:rsidR="002A342E" w:rsidRPr="002E3BAF" w:rsidRDefault="002A342E" w:rsidP="002A342E">
      <w:pPr>
        <w:jc w:val="center"/>
        <w:rPr>
          <w:b/>
          <w:sz w:val="32"/>
          <w:szCs w:val="32"/>
        </w:rPr>
      </w:pPr>
      <w:r>
        <w:rPr>
          <w:b/>
          <w:sz w:val="32"/>
          <w:szCs w:val="32"/>
        </w:rPr>
        <w:t xml:space="preserve">November 2014 </w:t>
      </w:r>
    </w:p>
    <w:p w:rsidR="002A342E" w:rsidRPr="005B2785" w:rsidRDefault="002A342E" w:rsidP="002A342E">
      <w:pPr>
        <w:pStyle w:val="Heading1"/>
        <w:rPr>
          <w:rFonts w:ascii="Times New Roman" w:hAnsi="Times New Roman"/>
          <w:sz w:val="22"/>
          <w:szCs w:val="22"/>
        </w:rPr>
      </w:pPr>
    </w:p>
    <w:p w:rsidR="002A342E" w:rsidRDefault="002A342E" w:rsidP="002A342E">
      <w:pPr>
        <w:rPr>
          <w:b/>
          <w:sz w:val="22"/>
          <w:szCs w:val="22"/>
        </w:rPr>
      </w:pPr>
    </w:p>
    <w:p w:rsidR="002A342E" w:rsidRDefault="002A342E" w:rsidP="002A342E">
      <w:pPr>
        <w:rPr>
          <w:b/>
          <w:sz w:val="22"/>
          <w:szCs w:val="22"/>
        </w:rPr>
      </w:pPr>
    </w:p>
    <w:p w:rsidR="002A342E" w:rsidRDefault="002A342E" w:rsidP="002A342E">
      <w:pPr>
        <w:rPr>
          <w:b/>
          <w:sz w:val="22"/>
          <w:szCs w:val="22"/>
        </w:rPr>
      </w:pPr>
    </w:p>
    <w:p w:rsidR="002A342E" w:rsidRDefault="002A342E" w:rsidP="002A342E">
      <w:pPr>
        <w:rPr>
          <w:b/>
          <w:sz w:val="22"/>
          <w:szCs w:val="22"/>
        </w:rPr>
      </w:pPr>
    </w:p>
    <w:p w:rsidR="002A342E" w:rsidRDefault="002A342E" w:rsidP="002A342E">
      <w:pPr>
        <w:rPr>
          <w:b/>
          <w:sz w:val="22"/>
          <w:szCs w:val="22"/>
        </w:rPr>
      </w:pPr>
    </w:p>
    <w:p w:rsidR="00FF52A0" w:rsidRDefault="00FF52A0" w:rsidP="002A342E">
      <w:pPr>
        <w:rPr>
          <w:vertAlign w:val="subscript"/>
        </w:rPr>
      </w:pPr>
    </w:p>
    <w:p w:rsidR="00FF52A0" w:rsidRDefault="00FF52A0" w:rsidP="002A342E">
      <w:pPr>
        <w:rPr>
          <w:vertAlign w:val="subscript"/>
        </w:rPr>
      </w:pPr>
    </w:p>
    <w:p w:rsidR="00FF52A0" w:rsidRDefault="00FF52A0" w:rsidP="002A342E">
      <w:pPr>
        <w:rPr>
          <w:vertAlign w:val="subscript"/>
        </w:rPr>
      </w:pPr>
    </w:p>
    <w:p w:rsidR="00FF52A0" w:rsidRDefault="00FF52A0" w:rsidP="002A342E">
      <w:pPr>
        <w:rPr>
          <w:vertAlign w:val="subscript"/>
        </w:rPr>
      </w:pPr>
    </w:p>
    <w:p w:rsidR="00FF52A0" w:rsidRDefault="00FF52A0" w:rsidP="002A342E">
      <w:pPr>
        <w:rPr>
          <w:vertAlign w:val="subscript"/>
        </w:rPr>
      </w:pPr>
    </w:p>
    <w:p w:rsidR="00FF52A0" w:rsidRDefault="00FF52A0" w:rsidP="002A342E">
      <w:pPr>
        <w:rPr>
          <w:vertAlign w:val="subscript"/>
        </w:rPr>
      </w:pPr>
    </w:p>
    <w:p w:rsidR="002A342E" w:rsidRDefault="00AD0125" w:rsidP="002A342E">
      <w:pPr>
        <w:rPr>
          <w:vertAlign w:val="subscript"/>
        </w:rPr>
      </w:pPr>
      <w:r w:rsidRPr="00F6661C">
        <w:rPr>
          <w:noProof/>
          <w:vertAlign w:val="subscript"/>
        </w:rPr>
        <w:drawing>
          <wp:inline distT="0" distB="0" distL="0" distR="0">
            <wp:extent cx="542925" cy="85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857250"/>
                    </a:xfrm>
                    <a:prstGeom prst="rect">
                      <a:avLst/>
                    </a:prstGeom>
                    <a:noFill/>
                    <a:ln>
                      <a:noFill/>
                    </a:ln>
                  </pic:spPr>
                </pic:pic>
              </a:graphicData>
            </a:graphic>
          </wp:inline>
        </w:drawing>
      </w:r>
    </w:p>
    <w:p w:rsidR="002A342E" w:rsidRPr="002A342E" w:rsidRDefault="002A342E" w:rsidP="002A342E">
      <w:pPr>
        <w:rPr>
          <w:sz w:val="32"/>
          <w:szCs w:val="32"/>
        </w:rPr>
      </w:pPr>
      <w:r w:rsidRPr="005B2785">
        <w:rPr>
          <w:sz w:val="32"/>
          <w:szCs w:val="32"/>
        </w:rPr>
        <w:t xml:space="preserve"> </w:t>
      </w:r>
      <w:proofErr w:type="spellStart"/>
      <w:r w:rsidRPr="002A342E">
        <w:rPr>
          <w:b/>
        </w:rPr>
        <w:t>Nature</w:t>
      </w:r>
      <w:r w:rsidRPr="002A342E">
        <w:rPr>
          <w:i/>
        </w:rPr>
        <w:t>Kenya</w:t>
      </w:r>
      <w:proofErr w:type="spellEnd"/>
      <w:r>
        <w:rPr>
          <w:sz w:val="32"/>
          <w:szCs w:val="32"/>
        </w:rPr>
        <w:t xml:space="preserve"> </w:t>
      </w:r>
      <w:r w:rsidRPr="00FF52A0">
        <w:rPr>
          <w:sz w:val="16"/>
          <w:szCs w:val="16"/>
        </w:rPr>
        <w:t>Improving Livelihood through Sustainable Government, Ngo, Private Partnerships in South Nandi Forest, Kenya Project</w:t>
      </w:r>
      <w:r w:rsidRPr="002A342E">
        <w:rPr>
          <w:i/>
          <w:sz w:val="18"/>
          <w:szCs w:val="18"/>
        </w:rPr>
        <w:t xml:space="preserve"> </w:t>
      </w:r>
      <w:r w:rsidRPr="002A342E">
        <w:rPr>
          <w:i/>
          <w:sz w:val="18"/>
          <w:szCs w:val="18"/>
        </w:rPr>
        <w:br w:type="page"/>
      </w:r>
    </w:p>
    <w:p w:rsidR="00C27A42" w:rsidRDefault="00C27A42">
      <w:pPr>
        <w:rPr>
          <w:b/>
          <w:u w:val="single"/>
        </w:rPr>
      </w:pPr>
    </w:p>
    <w:p w:rsidR="006209EA" w:rsidRPr="00C27A42" w:rsidRDefault="00C27A42">
      <w:pPr>
        <w:rPr>
          <w:b/>
          <w:u w:val="single"/>
        </w:rPr>
      </w:pPr>
      <w:r w:rsidRPr="00C27A42">
        <w:rPr>
          <w:b/>
          <w:u w:val="single"/>
        </w:rPr>
        <w:t>MONITORING AND BIRD WATCHING</w:t>
      </w:r>
    </w:p>
    <w:p w:rsidR="00C27A42" w:rsidRDefault="00C27A42"/>
    <w:p w:rsidR="00B25B0F" w:rsidRPr="00B25B0F" w:rsidRDefault="00B25B0F">
      <w:pPr>
        <w:rPr>
          <w:b/>
        </w:rPr>
      </w:pPr>
      <w:r w:rsidRPr="00B25B0F">
        <w:rPr>
          <w:b/>
        </w:rPr>
        <w:t>Background</w:t>
      </w:r>
    </w:p>
    <w:p w:rsidR="005E0824" w:rsidRDefault="005E0824" w:rsidP="00A11A8C">
      <w:pPr>
        <w:jc w:val="both"/>
      </w:pPr>
      <w:r>
        <w:t xml:space="preserve">Monitoring is a vital part of conservation </w:t>
      </w:r>
      <w:proofErr w:type="spellStart"/>
      <w:r>
        <w:t>programmes</w:t>
      </w:r>
      <w:proofErr w:type="spellEnd"/>
      <w:r>
        <w:t xml:space="preserve"> providing an early warning of any emerging problems, and is critical in assessing the impact of conservation effort. A monitoring scheme is designed so that data can be collected routinely and on a sustainable basis without being an overburdening data collection exercise.</w:t>
      </w:r>
    </w:p>
    <w:p w:rsidR="005E0824" w:rsidRDefault="005E0824" w:rsidP="00A11A8C">
      <w:pPr>
        <w:jc w:val="both"/>
      </w:pPr>
      <w:r>
        <w:t xml:space="preserve">In </w:t>
      </w:r>
      <w:smartTag w:uri="urn:schemas-microsoft-com:office:smarttags" w:element="country-region">
        <w:r>
          <w:t>Kenya</w:t>
        </w:r>
      </w:smartTag>
      <w:r>
        <w:t xml:space="preserve"> there are 62 Important Bird Areas (IBAs) and </w:t>
      </w:r>
      <w:smartTag w:uri="urn:schemas-microsoft-com:office:smarttags" w:element="place">
        <w:r>
          <w:t>South Nandi</w:t>
        </w:r>
      </w:smartTag>
      <w:r>
        <w:t xml:space="preserve"> forest is one of them. The monitoring framework for IBAs currently functioning in </w:t>
      </w:r>
      <w:smartTag w:uri="urn:schemas-microsoft-com:office:smarttags" w:element="place">
        <w:smartTag w:uri="urn:schemas-microsoft-com:office:smarttags" w:element="country-region">
          <w:r>
            <w:t>Kenya</w:t>
          </w:r>
        </w:smartTag>
      </w:smartTag>
      <w:r>
        <w:t xml:space="preserve"> implements Article (7) of the Convention on Biological Diversity on identification and monitoring. Monitoring requires a two-tier approach that should be based on the ‘pressure-state-response’ model.</w:t>
      </w:r>
      <w:r w:rsidR="0074527B">
        <w:t xml:space="preserve"> The first tier is the basic monitoring taking place in all IBAs whereby a monitoring form is filled in by the participating institutions </w:t>
      </w:r>
      <w:proofErr w:type="spellStart"/>
      <w:proofErr w:type="gramStart"/>
      <w:r w:rsidR="0074527B">
        <w:t>i;e</w:t>
      </w:r>
      <w:proofErr w:type="spellEnd"/>
      <w:proofErr w:type="gramEnd"/>
      <w:r w:rsidR="0074527B">
        <w:t xml:space="preserve"> KFS, KWS and NEMA. The second tier is the detailed monitoring that currently takes place in 1</w:t>
      </w:r>
      <w:r w:rsidR="00F5372B">
        <w:t>2</w:t>
      </w:r>
      <w:r w:rsidR="0074527B">
        <w:t xml:space="preserve"> sites in Kenya with well established and functioning SSGs whose members have trained by Nature Kenya and NMK</w:t>
      </w:r>
      <w:r w:rsidR="00AF2FC3">
        <w:t xml:space="preserve"> together with WCK</w:t>
      </w:r>
      <w:r w:rsidR="0074527B">
        <w:t xml:space="preserve"> staff to identify the target</w:t>
      </w:r>
      <w:r w:rsidR="00F5372B">
        <w:t xml:space="preserve"> species.</w:t>
      </w:r>
    </w:p>
    <w:p w:rsidR="00F5372B" w:rsidRDefault="00F5372B" w:rsidP="00A11A8C">
      <w:pPr>
        <w:jc w:val="both"/>
      </w:pPr>
      <w:r>
        <w:t xml:space="preserve">The South Nandi </w:t>
      </w:r>
      <w:r w:rsidR="00A330D8">
        <w:t>Biodiversity</w:t>
      </w:r>
      <w:r>
        <w:t xml:space="preserve"> Conservation Group (SONABIC)</w:t>
      </w:r>
      <w:r w:rsidR="007C0145">
        <w:t xml:space="preserve"> is the SSG undertaking detailed monitoring in the </w:t>
      </w:r>
      <w:smartTag w:uri="urn:schemas-microsoft-com:office:smarttags" w:element="place">
        <w:r w:rsidR="007C0145">
          <w:t>South Nandi</w:t>
        </w:r>
      </w:smartTag>
      <w:r w:rsidR="007C0145">
        <w:t xml:space="preserve"> forest. Since 200</w:t>
      </w:r>
      <w:r w:rsidR="00E83A73">
        <w:t>6 when the monitoring scheme was established, the SS</w:t>
      </w:r>
      <w:r w:rsidR="00A330D8">
        <w:t>G</w:t>
      </w:r>
      <w:r w:rsidR="00E83A73">
        <w:t xml:space="preserve"> has continued to undertake the monitoring twice a year; once in the dry season (Jan-Feb) and one in the wet season (Jun-July)</w:t>
      </w:r>
      <w:r w:rsidR="00207EB9">
        <w:t xml:space="preserve"> depending on weather condition of the particular time</w:t>
      </w:r>
      <w:r w:rsidR="00E83A73">
        <w:t>.</w:t>
      </w:r>
    </w:p>
    <w:p w:rsidR="006209EA" w:rsidRDefault="00A330D8" w:rsidP="00A11A8C">
      <w:pPr>
        <w:jc w:val="both"/>
      </w:pPr>
      <w:r>
        <w:t xml:space="preserve">This year’s wet season monitoring </w:t>
      </w:r>
      <w:r w:rsidR="00FF52A0">
        <w:t>altered due to prolong rainy season and it was shifted to November</w:t>
      </w:r>
      <w:r>
        <w:t>.</w:t>
      </w:r>
    </w:p>
    <w:p w:rsidR="00C27A42" w:rsidRDefault="00C27A42"/>
    <w:p w:rsidR="00976F9D" w:rsidRDefault="00976F9D">
      <w:pPr>
        <w:rPr>
          <w:b/>
        </w:rPr>
      </w:pPr>
      <w:r w:rsidRPr="00B25B0F">
        <w:rPr>
          <w:b/>
        </w:rPr>
        <w:t>Objectives</w:t>
      </w:r>
      <w:r w:rsidR="00DF4DF2">
        <w:rPr>
          <w:b/>
        </w:rPr>
        <w:t xml:space="preserve">    </w:t>
      </w:r>
    </w:p>
    <w:p w:rsidR="0036041F" w:rsidRPr="0036041F" w:rsidRDefault="0036041F">
      <w:r>
        <w:t>The objectives of the monitoring are:</w:t>
      </w:r>
    </w:p>
    <w:p w:rsidR="007C04EA" w:rsidRDefault="007C04EA" w:rsidP="007C04EA">
      <w:pPr>
        <w:numPr>
          <w:ilvl w:val="0"/>
          <w:numId w:val="6"/>
        </w:numPr>
        <w:tabs>
          <w:tab w:val="clear" w:pos="1080"/>
          <w:tab w:val="num" w:pos="360"/>
        </w:tabs>
        <w:ind w:left="360"/>
      </w:pPr>
      <w:r>
        <w:t>To identify how the structure of the forest is changing over time</w:t>
      </w:r>
      <w:r w:rsidR="0040252F">
        <w:t xml:space="preserve"> and the causes of the change.</w:t>
      </w:r>
    </w:p>
    <w:p w:rsidR="007C04EA" w:rsidRDefault="007C04EA" w:rsidP="007C04EA">
      <w:pPr>
        <w:numPr>
          <w:ilvl w:val="0"/>
          <w:numId w:val="7"/>
        </w:numPr>
        <w:tabs>
          <w:tab w:val="clear" w:pos="1080"/>
          <w:tab w:val="num" w:pos="360"/>
        </w:tabs>
        <w:ind w:left="360"/>
      </w:pPr>
      <w:proofErr w:type="gramStart"/>
      <w:r>
        <w:t>To  determine</w:t>
      </w:r>
      <w:proofErr w:type="gramEnd"/>
      <w:r>
        <w:t xml:space="preserve"> what impact this is having on forest birds</w:t>
      </w:r>
    </w:p>
    <w:p w:rsidR="007C04EA" w:rsidRDefault="007C04EA" w:rsidP="007C04EA">
      <w:pPr>
        <w:numPr>
          <w:ilvl w:val="0"/>
          <w:numId w:val="7"/>
        </w:numPr>
        <w:tabs>
          <w:tab w:val="clear" w:pos="1080"/>
          <w:tab w:val="num" w:pos="360"/>
        </w:tabs>
        <w:ind w:left="360"/>
      </w:pPr>
      <w:r>
        <w:t>To establish how the number of some key bird species are changing over time</w:t>
      </w:r>
    </w:p>
    <w:p w:rsidR="00C27A42" w:rsidRDefault="00976F9D" w:rsidP="007C04EA">
      <w:pPr>
        <w:numPr>
          <w:ilvl w:val="0"/>
          <w:numId w:val="7"/>
        </w:numPr>
        <w:tabs>
          <w:tab w:val="clear" w:pos="1080"/>
          <w:tab w:val="num" w:pos="360"/>
        </w:tabs>
        <w:ind w:left="360"/>
      </w:pPr>
      <w:r>
        <w:t>To know which part of the forest need</w:t>
      </w:r>
      <w:r w:rsidR="007C04EA">
        <w:t>s</w:t>
      </w:r>
      <w:r>
        <w:t xml:space="preserve"> more </w:t>
      </w:r>
      <w:r w:rsidR="007C04EA">
        <w:t>conservation action</w:t>
      </w:r>
    </w:p>
    <w:p w:rsidR="00D66271" w:rsidRDefault="00D66271" w:rsidP="00D66271"/>
    <w:p w:rsidR="00D66271" w:rsidRPr="00B25B0F" w:rsidRDefault="008B6975" w:rsidP="00D66271">
      <w:pPr>
        <w:rPr>
          <w:b/>
        </w:rPr>
      </w:pPr>
      <w:r>
        <w:rPr>
          <w:b/>
        </w:rPr>
        <w:t xml:space="preserve">Progress </w:t>
      </w:r>
    </w:p>
    <w:p w:rsidR="00C27A42" w:rsidRDefault="00D66271" w:rsidP="00BE4183">
      <w:pPr>
        <w:jc w:val="both"/>
      </w:pPr>
      <w:r>
        <w:t xml:space="preserve">The activity </w:t>
      </w:r>
      <w:r w:rsidR="00354143">
        <w:t>took</w:t>
      </w:r>
      <w:r>
        <w:t xml:space="preserve"> place </w:t>
      </w:r>
      <w:r w:rsidR="00354143">
        <w:t>on</w:t>
      </w:r>
      <w:r>
        <w:t xml:space="preserve"> the transect plots established by the SONABIC within the South Nandi Forest.</w:t>
      </w:r>
      <w:r w:rsidR="00BE4183">
        <w:t xml:space="preserve"> The </w:t>
      </w:r>
      <w:r w:rsidR="00D04305">
        <w:t xml:space="preserve">2-day </w:t>
      </w:r>
      <w:r w:rsidR="00BE4183">
        <w:t xml:space="preserve">activity </w:t>
      </w:r>
      <w:r w:rsidR="00354143">
        <w:t>took</w:t>
      </w:r>
      <w:r w:rsidR="00BE4183">
        <w:t xml:space="preserve"> place in </w:t>
      </w:r>
      <w:r w:rsidR="00354143">
        <w:t>November 2014.</w:t>
      </w:r>
    </w:p>
    <w:p w:rsidR="00D66271" w:rsidRDefault="00D66271" w:rsidP="00BE4183">
      <w:pPr>
        <w:jc w:val="both"/>
      </w:pPr>
      <w:r>
        <w:t xml:space="preserve">This </w:t>
      </w:r>
      <w:r w:rsidR="00354143">
        <w:t xml:space="preserve">was </w:t>
      </w:r>
      <w:r>
        <w:t xml:space="preserve">carried out by SONABIC members with the invited </w:t>
      </w:r>
      <w:r w:rsidR="00D04305">
        <w:t>participants</w:t>
      </w:r>
      <w:r>
        <w:t xml:space="preserve"> from;</w:t>
      </w:r>
    </w:p>
    <w:p w:rsidR="00354143" w:rsidRDefault="00354143" w:rsidP="00354143">
      <w:pPr>
        <w:numPr>
          <w:ilvl w:val="0"/>
          <w:numId w:val="2"/>
        </w:numPr>
      </w:pPr>
      <w:r>
        <w:t>Representatives from satellite groups</w:t>
      </w:r>
    </w:p>
    <w:p w:rsidR="00D66271" w:rsidRDefault="00D66271" w:rsidP="00D66271">
      <w:pPr>
        <w:numPr>
          <w:ilvl w:val="0"/>
          <w:numId w:val="2"/>
        </w:numPr>
      </w:pPr>
      <w:r>
        <w:t xml:space="preserve">Birders trained by </w:t>
      </w:r>
      <w:r w:rsidR="00D04305">
        <w:t>N</w:t>
      </w:r>
      <w:r>
        <w:t>ature Kenya</w:t>
      </w:r>
    </w:p>
    <w:p w:rsidR="00D66271" w:rsidRDefault="00D66271" w:rsidP="00D66271">
      <w:pPr>
        <w:numPr>
          <w:ilvl w:val="0"/>
          <w:numId w:val="2"/>
        </w:numPr>
      </w:pPr>
      <w:r>
        <w:t>Forest scout</w:t>
      </w:r>
      <w:r w:rsidR="00D04305">
        <w:t>s</w:t>
      </w:r>
      <w:r>
        <w:t xml:space="preserve"> </w:t>
      </w:r>
    </w:p>
    <w:p w:rsidR="00D66271" w:rsidRDefault="00D66271" w:rsidP="00D66271">
      <w:pPr>
        <w:numPr>
          <w:ilvl w:val="0"/>
          <w:numId w:val="2"/>
        </w:numPr>
      </w:pPr>
      <w:r>
        <w:t xml:space="preserve">KFS </w:t>
      </w:r>
      <w:r w:rsidR="00D04305">
        <w:t>rangers</w:t>
      </w:r>
    </w:p>
    <w:p w:rsidR="005C6DFC" w:rsidRDefault="00AD0125" w:rsidP="005C6DFC">
      <w:pPr>
        <w:ind w:left="1080"/>
        <w:jc w:val="center"/>
      </w:pPr>
      <w:r w:rsidRPr="005C6DFC">
        <w:rPr>
          <w:noProof/>
        </w:rPr>
        <w:drawing>
          <wp:inline distT="0" distB="0" distL="0" distR="0">
            <wp:extent cx="3390900" cy="2028825"/>
            <wp:effectExtent l="0" t="0" r="0" b="0"/>
            <wp:docPr id="4" name="Picture 4" descr="C360_2014-11-19-11-46-07-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360_2014-11-19-11-46-07-9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0900" cy="2028825"/>
                    </a:xfrm>
                    <a:prstGeom prst="rect">
                      <a:avLst/>
                    </a:prstGeom>
                    <a:noFill/>
                    <a:ln>
                      <a:noFill/>
                    </a:ln>
                  </pic:spPr>
                </pic:pic>
              </a:graphicData>
            </a:graphic>
          </wp:inline>
        </w:drawing>
      </w:r>
    </w:p>
    <w:p w:rsidR="005C6DFC" w:rsidRDefault="005C6DFC" w:rsidP="00D66271"/>
    <w:p w:rsidR="00484574" w:rsidRDefault="00457F08" w:rsidP="00D66271">
      <w:r>
        <w:lastRenderedPageBreak/>
        <w:t xml:space="preserve">SONABIC members </w:t>
      </w:r>
      <w:r w:rsidR="00354143">
        <w:t>took</w:t>
      </w:r>
      <w:r>
        <w:t xml:space="preserve"> the lead in locating the transect plots in the forest and in data collection. Data collected </w:t>
      </w:r>
      <w:r w:rsidR="00354143">
        <w:t>were</w:t>
      </w:r>
      <w:r>
        <w:t xml:space="preserve"> filled into the standard detailed monitoring forms.</w:t>
      </w:r>
      <w:r w:rsidR="0036041F">
        <w:t xml:space="preserve"> Thereafter, the data </w:t>
      </w:r>
      <w:r w:rsidR="00354143">
        <w:t>were</w:t>
      </w:r>
      <w:r w:rsidR="0036041F">
        <w:t xml:space="preserve"> compiled and analyzed to give the desired information</w:t>
      </w:r>
      <w:r w:rsidR="009531D0">
        <w:t>, the data is attached at the back of this report.</w:t>
      </w:r>
    </w:p>
    <w:p w:rsidR="00484574" w:rsidRDefault="00484574" w:rsidP="00D66271">
      <w:r>
        <w:t xml:space="preserve">                                                      </w:t>
      </w:r>
      <w:r w:rsidR="00AD0125">
        <w:rPr>
          <w:noProof/>
        </w:rPr>
        <w:drawing>
          <wp:inline distT="0" distB="0" distL="0" distR="0">
            <wp:extent cx="1876425" cy="2273300"/>
            <wp:effectExtent l="0" t="0" r="0" b="0"/>
            <wp:docPr id="7" name="Picture 7" descr="101_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1_00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6425" cy="2273300"/>
                    </a:xfrm>
                    <a:prstGeom prst="rect">
                      <a:avLst/>
                    </a:prstGeom>
                    <a:noFill/>
                    <a:ln>
                      <a:noFill/>
                    </a:ln>
                  </pic:spPr>
                </pic:pic>
              </a:graphicData>
            </a:graphic>
          </wp:inline>
        </w:drawing>
      </w:r>
    </w:p>
    <w:p w:rsidR="0036041F" w:rsidRPr="0036041F" w:rsidRDefault="0036041F" w:rsidP="0036041F">
      <w:pPr>
        <w:rPr>
          <w:b/>
        </w:rPr>
      </w:pPr>
      <w:r>
        <w:t xml:space="preserve">The monitoring information is meant to inform decision makers on the level of threats (pressure) on the forest, the current status of the forest and the appropriate response to deal with the threats </w:t>
      </w:r>
      <w:proofErr w:type="spellStart"/>
      <w:r>
        <w:t>i.e</w:t>
      </w:r>
      <w:proofErr w:type="spellEnd"/>
      <w:r>
        <w:t xml:space="preserve"> conservation action.</w:t>
      </w:r>
    </w:p>
    <w:p w:rsidR="0036041F" w:rsidRDefault="00AD0125" w:rsidP="005C6DFC">
      <w:pPr>
        <w:jc w:val="center"/>
        <w:rPr>
          <w:b/>
        </w:rPr>
      </w:pPr>
      <w:r w:rsidRPr="005C6DFC">
        <w:rPr>
          <w:b/>
          <w:noProof/>
        </w:rPr>
        <w:drawing>
          <wp:inline distT="0" distB="0" distL="0" distR="0">
            <wp:extent cx="3457575" cy="2076450"/>
            <wp:effectExtent l="0" t="0" r="0" b="0"/>
            <wp:docPr id="5" name="Picture 5" descr="C360_2014-11-19-10-56-1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360_2014-11-19-10-56-11-1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7575" cy="2076450"/>
                    </a:xfrm>
                    <a:prstGeom prst="rect">
                      <a:avLst/>
                    </a:prstGeom>
                    <a:noFill/>
                    <a:ln>
                      <a:noFill/>
                    </a:ln>
                  </pic:spPr>
                </pic:pic>
              </a:graphicData>
            </a:graphic>
          </wp:inline>
        </w:drawing>
      </w:r>
    </w:p>
    <w:p w:rsidR="008B6975" w:rsidRDefault="008B6975" w:rsidP="0036041F">
      <w:pPr>
        <w:rPr>
          <w:b/>
        </w:rPr>
      </w:pPr>
    </w:p>
    <w:p w:rsidR="00AA5782" w:rsidRDefault="00AA5782" w:rsidP="0036041F">
      <w:pPr>
        <w:rPr>
          <w:b/>
        </w:rPr>
      </w:pPr>
    </w:p>
    <w:p w:rsidR="00AA5782" w:rsidRDefault="00AA5782" w:rsidP="0036041F">
      <w:pPr>
        <w:rPr>
          <w:b/>
        </w:rPr>
      </w:pPr>
    </w:p>
    <w:p w:rsidR="008B6975" w:rsidRDefault="008B6975" w:rsidP="0036041F">
      <w:pPr>
        <w:rPr>
          <w:b/>
        </w:rPr>
      </w:pPr>
      <w:r>
        <w:rPr>
          <w:b/>
        </w:rPr>
        <w:t xml:space="preserve">Recommendation </w:t>
      </w:r>
    </w:p>
    <w:p w:rsidR="006F4E40" w:rsidRDefault="006F4E40" w:rsidP="0036041F">
      <w:r w:rsidRPr="006F4E40">
        <w:t xml:space="preserve">From </w:t>
      </w:r>
      <w:r>
        <w:t xml:space="preserve">the data collected, it is regrettable and unfortunate that the wood fuel which has always seemed to be a low impact resource extraction by the local communities, is, </w:t>
      </w:r>
      <w:proofErr w:type="spellStart"/>
      <w:r>
        <w:t>infact</w:t>
      </w:r>
      <w:proofErr w:type="spellEnd"/>
      <w:r>
        <w:t xml:space="preserve"> an ecological disastrous process. The forest department should revise the policy of wood fuel extraction to provide for retention of the absolute minimum critical for the survival of the threatened tree and bird species.</w:t>
      </w:r>
    </w:p>
    <w:p w:rsidR="008B6975" w:rsidRPr="00E062A1" w:rsidRDefault="00DD01A7" w:rsidP="0036041F">
      <w:r>
        <w:t xml:space="preserve">Any policies to exploit </w:t>
      </w:r>
      <w:proofErr w:type="spellStart"/>
      <w:r>
        <w:t>indigineous</w:t>
      </w:r>
      <w:proofErr w:type="spellEnd"/>
      <w:r>
        <w:t xml:space="preserve"> forest must take into account the effects on endemic and other globally threatened species that are very sensitive to any slight changes in their habitat </w:t>
      </w:r>
      <w:proofErr w:type="spellStart"/>
      <w:r>
        <w:t>i.e</w:t>
      </w:r>
      <w:proofErr w:type="spellEnd"/>
      <w:r>
        <w:t xml:space="preserve"> Turners’ </w:t>
      </w:r>
      <w:proofErr w:type="spellStart"/>
      <w:r>
        <w:t>Eremomella</w:t>
      </w:r>
      <w:proofErr w:type="spellEnd"/>
      <w:r w:rsidR="006F4E40">
        <w:t xml:space="preserve"> </w:t>
      </w:r>
      <w:r w:rsidRPr="00DD01A7">
        <w:rPr>
          <w:i/>
        </w:rPr>
        <w:t>(</w:t>
      </w:r>
      <w:proofErr w:type="spellStart"/>
      <w:r w:rsidRPr="00DD01A7">
        <w:rPr>
          <w:i/>
        </w:rPr>
        <w:t>eremomella</w:t>
      </w:r>
      <w:proofErr w:type="spellEnd"/>
      <w:r w:rsidRPr="00DD01A7">
        <w:rPr>
          <w:i/>
        </w:rPr>
        <w:t xml:space="preserve"> </w:t>
      </w:r>
      <w:proofErr w:type="spellStart"/>
      <w:r w:rsidRPr="00DD01A7">
        <w:rPr>
          <w:i/>
        </w:rPr>
        <w:t>turneri</w:t>
      </w:r>
      <w:proofErr w:type="spellEnd"/>
      <w:r w:rsidRPr="00DD01A7">
        <w:rPr>
          <w:i/>
        </w:rPr>
        <w:t>)</w:t>
      </w:r>
      <w:r w:rsidR="00E062A1">
        <w:rPr>
          <w:i/>
        </w:rPr>
        <w:t xml:space="preserve">, </w:t>
      </w:r>
      <w:r w:rsidR="00E062A1">
        <w:t>including other flora and fauna.</w:t>
      </w:r>
    </w:p>
    <w:p w:rsidR="00AF3EAF" w:rsidRDefault="00AF3EAF" w:rsidP="0036041F">
      <w:r>
        <w:t xml:space="preserve">The grazing of livestock within the forest has led to fast degradation of the indigenous forest. The forest department together with the county government needs to develop strategies for reducing the number of livestock grazing in the forest, availing water outside the forest boundaries and working with the farmers to avail fodder outside the forest, </w:t>
      </w:r>
      <w:proofErr w:type="spellStart"/>
      <w:r>
        <w:t>i.e</w:t>
      </w:r>
      <w:proofErr w:type="spellEnd"/>
      <w:r>
        <w:t xml:space="preserve"> only the controlled number of livestock to be allowed to graze in the forest within a given period of time particularly the rainy season and stopped during the dry season. </w:t>
      </w:r>
    </w:p>
    <w:p w:rsidR="00AF3EAF" w:rsidRDefault="00C51CF6" w:rsidP="0036041F">
      <w:r>
        <w:t xml:space="preserve">The other forest uses like bee keeping which has higher returns and have minimum effect on the forest dependent species should be worked out, capacity building amongst the public should be created to </w:t>
      </w:r>
      <w:r>
        <w:lastRenderedPageBreak/>
        <w:t>improve on the harvesting of honey in the forest to avoid felling of the aged growing tree in the name of honey.</w:t>
      </w:r>
    </w:p>
    <w:p w:rsidR="00AB3F22" w:rsidRDefault="00AB3F22" w:rsidP="0036041F">
      <w:r>
        <w:t xml:space="preserve">The upcoming CBOs should </w:t>
      </w:r>
      <w:proofErr w:type="gramStart"/>
      <w:r>
        <w:t>supported</w:t>
      </w:r>
      <w:proofErr w:type="gramEnd"/>
      <w:r>
        <w:t xml:space="preserve"> to </w:t>
      </w:r>
      <w:r w:rsidR="00A20124">
        <w:t>enhance</w:t>
      </w:r>
      <w:r>
        <w:t xml:space="preserve"> the protection </w:t>
      </w:r>
      <w:r w:rsidR="00A20124">
        <w:t xml:space="preserve">of biodiversity through advocacy, creating awareness in the local community and any habitat restoration </w:t>
      </w:r>
      <w:proofErr w:type="spellStart"/>
      <w:r w:rsidR="00A20124">
        <w:t>programmes</w:t>
      </w:r>
      <w:proofErr w:type="spellEnd"/>
      <w:r w:rsidR="00A20124">
        <w:t>.</w:t>
      </w:r>
    </w:p>
    <w:p w:rsidR="00AF3EAF" w:rsidRDefault="00AF3EAF" w:rsidP="0036041F"/>
    <w:p w:rsidR="00F23358" w:rsidRPr="00F23358" w:rsidRDefault="00F23358" w:rsidP="0036041F">
      <w:pPr>
        <w:rPr>
          <w:b/>
        </w:rPr>
      </w:pPr>
      <w:r w:rsidRPr="00F23358">
        <w:rPr>
          <w:b/>
        </w:rPr>
        <w:t>Conclusion</w:t>
      </w:r>
    </w:p>
    <w:p w:rsidR="00F23358" w:rsidRDefault="00F23358" w:rsidP="0036041F">
      <w:r>
        <w:t xml:space="preserve">From the results of the data, it is concluded </w:t>
      </w:r>
      <w:proofErr w:type="gramStart"/>
      <w:r>
        <w:t>that :</w:t>
      </w:r>
      <w:proofErr w:type="gramEnd"/>
      <w:r>
        <w:t>-</w:t>
      </w:r>
    </w:p>
    <w:p w:rsidR="00F23358" w:rsidRDefault="00355DDF" w:rsidP="00F23358">
      <w:pPr>
        <w:numPr>
          <w:ilvl w:val="0"/>
          <w:numId w:val="10"/>
        </w:numPr>
      </w:pPr>
      <w:r>
        <w:t>Bird population size is proportional to habitat quality.</w:t>
      </w:r>
    </w:p>
    <w:p w:rsidR="00355DDF" w:rsidRDefault="00355DDF" w:rsidP="00F23358">
      <w:pPr>
        <w:numPr>
          <w:ilvl w:val="0"/>
          <w:numId w:val="10"/>
        </w:numPr>
      </w:pPr>
      <w:r>
        <w:t>As the forest is disturbed, the forest specialist bird species decrease.</w:t>
      </w:r>
    </w:p>
    <w:p w:rsidR="00355DDF" w:rsidRDefault="00355DDF" w:rsidP="00F23358">
      <w:pPr>
        <w:numPr>
          <w:ilvl w:val="0"/>
          <w:numId w:val="10"/>
        </w:numPr>
      </w:pPr>
      <w:r>
        <w:t>The distribution and abundance of bird communities is positively correlated with the habitat quality.</w:t>
      </w:r>
    </w:p>
    <w:p w:rsidR="00B059CA" w:rsidRDefault="00B059CA" w:rsidP="00B059CA">
      <w:pPr>
        <w:numPr>
          <w:ilvl w:val="0"/>
          <w:numId w:val="10"/>
        </w:numPr>
      </w:pPr>
      <w:r>
        <w:t>Endo-parasite load is higher in birds occurring in more disturbed site of the habitat.</w:t>
      </w:r>
    </w:p>
    <w:p w:rsidR="00F23358" w:rsidRDefault="00F23358" w:rsidP="0036041F"/>
    <w:p w:rsidR="00F23358" w:rsidRDefault="00F23358" w:rsidP="0036041F"/>
    <w:p w:rsidR="00E45F33" w:rsidRPr="00B25B0F" w:rsidRDefault="00AF3EAF" w:rsidP="0036041F">
      <w:pPr>
        <w:rPr>
          <w:b/>
        </w:rPr>
      </w:pPr>
      <w:r w:rsidRPr="00B25B0F">
        <w:rPr>
          <w:b/>
        </w:rPr>
        <w:t xml:space="preserve"> </w:t>
      </w:r>
      <w:r w:rsidR="00E45F33" w:rsidRPr="00B25B0F">
        <w:rPr>
          <w:b/>
        </w:rPr>
        <w:t xml:space="preserve">The Budget </w:t>
      </w:r>
    </w:p>
    <w:p w:rsidR="00152D05" w:rsidRDefault="00152D05" w:rsidP="00D66271">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3782"/>
        <w:gridCol w:w="670"/>
        <w:gridCol w:w="1197"/>
        <w:gridCol w:w="723"/>
        <w:gridCol w:w="1057"/>
      </w:tblGrid>
      <w:tr w:rsidR="00BE4183" w:rsidRPr="00AF2FC3" w:rsidTr="00AF2FC3">
        <w:tc>
          <w:tcPr>
            <w:tcW w:w="0" w:type="auto"/>
          </w:tcPr>
          <w:p w:rsidR="00BE4183" w:rsidRPr="00AF2FC3" w:rsidRDefault="00BE4183" w:rsidP="00F756BF">
            <w:pPr>
              <w:rPr>
                <w:b/>
              </w:rPr>
            </w:pPr>
            <w:r w:rsidRPr="00AF2FC3">
              <w:rPr>
                <w:b/>
              </w:rPr>
              <w:t xml:space="preserve">No. </w:t>
            </w:r>
          </w:p>
        </w:tc>
        <w:tc>
          <w:tcPr>
            <w:tcW w:w="0" w:type="auto"/>
          </w:tcPr>
          <w:p w:rsidR="00BE4183" w:rsidRPr="00AF2FC3" w:rsidRDefault="00BE4183" w:rsidP="00F756BF">
            <w:pPr>
              <w:rPr>
                <w:b/>
              </w:rPr>
            </w:pPr>
            <w:r w:rsidRPr="00AF2FC3">
              <w:rPr>
                <w:b/>
              </w:rPr>
              <w:t>Description</w:t>
            </w:r>
          </w:p>
        </w:tc>
        <w:tc>
          <w:tcPr>
            <w:tcW w:w="0" w:type="auto"/>
          </w:tcPr>
          <w:p w:rsidR="00BE4183" w:rsidRPr="00AF2FC3" w:rsidRDefault="00BE4183" w:rsidP="00F756BF">
            <w:pPr>
              <w:rPr>
                <w:b/>
              </w:rPr>
            </w:pPr>
            <w:r w:rsidRPr="00AF2FC3">
              <w:rPr>
                <w:b/>
              </w:rPr>
              <w:t xml:space="preserve">Unit </w:t>
            </w:r>
          </w:p>
        </w:tc>
        <w:tc>
          <w:tcPr>
            <w:tcW w:w="0" w:type="auto"/>
          </w:tcPr>
          <w:p w:rsidR="00BE4183" w:rsidRPr="00AF2FC3" w:rsidRDefault="00BE4183" w:rsidP="00F756BF">
            <w:pPr>
              <w:rPr>
                <w:b/>
              </w:rPr>
            </w:pPr>
            <w:r w:rsidRPr="00AF2FC3">
              <w:rPr>
                <w:b/>
              </w:rPr>
              <w:t>Unit Cost</w:t>
            </w:r>
          </w:p>
        </w:tc>
        <w:tc>
          <w:tcPr>
            <w:tcW w:w="0" w:type="auto"/>
          </w:tcPr>
          <w:p w:rsidR="00BE4183" w:rsidRPr="00AF2FC3" w:rsidRDefault="00BE4183" w:rsidP="00F756BF">
            <w:pPr>
              <w:rPr>
                <w:b/>
              </w:rPr>
            </w:pPr>
            <w:r w:rsidRPr="00AF2FC3">
              <w:rPr>
                <w:b/>
              </w:rPr>
              <w:t>Days</w:t>
            </w:r>
          </w:p>
        </w:tc>
        <w:tc>
          <w:tcPr>
            <w:tcW w:w="0" w:type="auto"/>
          </w:tcPr>
          <w:p w:rsidR="00BE4183" w:rsidRPr="00AF2FC3" w:rsidRDefault="00BE4183" w:rsidP="00F756BF">
            <w:pPr>
              <w:rPr>
                <w:b/>
              </w:rPr>
            </w:pPr>
            <w:r w:rsidRPr="00AF2FC3">
              <w:rPr>
                <w:b/>
              </w:rPr>
              <w:t xml:space="preserve">Amount </w:t>
            </w:r>
          </w:p>
        </w:tc>
      </w:tr>
      <w:tr w:rsidR="00BE4183" w:rsidTr="00AF2FC3">
        <w:tc>
          <w:tcPr>
            <w:tcW w:w="0" w:type="auto"/>
          </w:tcPr>
          <w:p w:rsidR="00BE4183" w:rsidRDefault="00BE4183" w:rsidP="00F756BF">
            <w:r>
              <w:t>1.</w:t>
            </w:r>
          </w:p>
        </w:tc>
        <w:tc>
          <w:tcPr>
            <w:tcW w:w="0" w:type="auto"/>
          </w:tcPr>
          <w:p w:rsidR="00BE4183" w:rsidRDefault="00354143" w:rsidP="00F756BF">
            <w:r>
              <w:t xml:space="preserve">Fuel </w:t>
            </w:r>
            <w:r w:rsidR="00BE4183">
              <w:t xml:space="preserve">        -Two motor bikes</w:t>
            </w:r>
          </w:p>
        </w:tc>
        <w:tc>
          <w:tcPr>
            <w:tcW w:w="0" w:type="auto"/>
          </w:tcPr>
          <w:p w:rsidR="00BE4183" w:rsidRDefault="00BE4183" w:rsidP="00F756BF"/>
        </w:tc>
        <w:tc>
          <w:tcPr>
            <w:tcW w:w="0" w:type="auto"/>
          </w:tcPr>
          <w:p w:rsidR="00BE4183" w:rsidRDefault="00BE4183" w:rsidP="00F756BF"/>
        </w:tc>
        <w:tc>
          <w:tcPr>
            <w:tcW w:w="0" w:type="auto"/>
          </w:tcPr>
          <w:p w:rsidR="00BE4183" w:rsidRDefault="00BE4183" w:rsidP="00AF2FC3">
            <w:pPr>
              <w:jc w:val="right"/>
            </w:pPr>
            <w:r>
              <w:t>2</w:t>
            </w:r>
          </w:p>
        </w:tc>
        <w:tc>
          <w:tcPr>
            <w:tcW w:w="0" w:type="auto"/>
          </w:tcPr>
          <w:p w:rsidR="00BE4183" w:rsidRDefault="00D96765" w:rsidP="00AF2FC3">
            <w:pPr>
              <w:jc w:val="right"/>
            </w:pPr>
            <w:r>
              <w:t>2</w:t>
            </w:r>
            <w:r w:rsidR="00354143">
              <w:t>,000</w:t>
            </w:r>
          </w:p>
        </w:tc>
      </w:tr>
      <w:tr w:rsidR="00BE4183" w:rsidTr="00AF2FC3">
        <w:tc>
          <w:tcPr>
            <w:tcW w:w="0" w:type="auto"/>
          </w:tcPr>
          <w:p w:rsidR="00BE4183" w:rsidRDefault="00BE4183" w:rsidP="00F756BF">
            <w:r>
              <w:t>2.</w:t>
            </w:r>
          </w:p>
        </w:tc>
        <w:tc>
          <w:tcPr>
            <w:tcW w:w="0" w:type="auto"/>
          </w:tcPr>
          <w:p w:rsidR="00BE4183" w:rsidRDefault="00BE4183" w:rsidP="00F756BF">
            <w:r>
              <w:t xml:space="preserve">Invited birders transport </w:t>
            </w:r>
            <w:r w:rsidR="001A2F6B">
              <w:t>+ Lunch</w:t>
            </w:r>
          </w:p>
        </w:tc>
        <w:tc>
          <w:tcPr>
            <w:tcW w:w="0" w:type="auto"/>
          </w:tcPr>
          <w:p w:rsidR="00BE4183" w:rsidRDefault="00354143" w:rsidP="00F756BF">
            <w:r>
              <w:t>1</w:t>
            </w:r>
          </w:p>
        </w:tc>
        <w:tc>
          <w:tcPr>
            <w:tcW w:w="0" w:type="auto"/>
          </w:tcPr>
          <w:p w:rsidR="00BE4183" w:rsidRDefault="00354143" w:rsidP="00F756BF">
            <w:r>
              <w:t>5</w:t>
            </w:r>
            <w:r w:rsidR="00BE4183">
              <w:t>00</w:t>
            </w:r>
          </w:p>
        </w:tc>
        <w:tc>
          <w:tcPr>
            <w:tcW w:w="0" w:type="auto"/>
          </w:tcPr>
          <w:p w:rsidR="00BE4183" w:rsidRDefault="00BE4183" w:rsidP="00AF2FC3">
            <w:pPr>
              <w:jc w:val="right"/>
            </w:pPr>
            <w:r>
              <w:t>2</w:t>
            </w:r>
          </w:p>
        </w:tc>
        <w:tc>
          <w:tcPr>
            <w:tcW w:w="0" w:type="auto"/>
          </w:tcPr>
          <w:p w:rsidR="00BE4183" w:rsidRDefault="00354143" w:rsidP="00AF2FC3">
            <w:pPr>
              <w:jc w:val="right"/>
            </w:pPr>
            <w:r>
              <w:t>1</w:t>
            </w:r>
            <w:r w:rsidR="00BE4183">
              <w:t>,000</w:t>
            </w:r>
          </w:p>
        </w:tc>
      </w:tr>
      <w:tr w:rsidR="00BE4183" w:rsidTr="00AF2FC3">
        <w:tc>
          <w:tcPr>
            <w:tcW w:w="0" w:type="auto"/>
          </w:tcPr>
          <w:p w:rsidR="00BE4183" w:rsidRDefault="00BE4183" w:rsidP="00F756BF">
            <w:r>
              <w:t>3.</w:t>
            </w:r>
          </w:p>
        </w:tc>
        <w:tc>
          <w:tcPr>
            <w:tcW w:w="0" w:type="auto"/>
          </w:tcPr>
          <w:p w:rsidR="00BE4183" w:rsidRDefault="001A2F6B" w:rsidP="00F756BF">
            <w:r>
              <w:t xml:space="preserve">Lunch </w:t>
            </w:r>
            <w:r w:rsidR="00BE4183">
              <w:t xml:space="preserve">Sonabic members </w:t>
            </w:r>
          </w:p>
        </w:tc>
        <w:tc>
          <w:tcPr>
            <w:tcW w:w="0" w:type="auto"/>
          </w:tcPr>
          <w:p w:rsidR="00BE4183" w:rsidRDefault="00BE4183" w:rsidP="00F756BF">
            <w:r>
              <w:t>10</w:t>
            </w:r>
          </w:p>
        </w:tc>
        <w:tc>
          <w:tcPr>
            <w:tcW w:w="0" w:type="auto"/>
          </w:tcPr>
          <w:p w:rsidR="00BE4183" w:rsidRDefault="00BE4183" w:rsidP="00F756BF">
            <w:r>
              <w:t>300</w:t>
            </w:r>
          </w:p>
        </w:tc>
        <w:tc>
          <w:tcPr>
            <w:tcW w:w="0" w:type="auto"/>
          </w:tcPr>
          <w:p w:rsidR="00BE4183" w:rsidRDefault="00BE4183" w:rsidP="00AF2FC3">
            <w:pPr>
              <w:jc w:val="right"/>
            </w:pPr>
            <w:r>
              <w:t>2</w:t>
            </w:r>
          </w:p>
        </w:tc>
        <w:tc>
          <w:tcPr>
            <w:tcW w:w="0" w:type="auto"/>
          </w:tcPr>
          <w:p w:rsidR="00BE4183" w:rsidRDefault="00BE4183" w:rsidP="00AF2FC3">
            <w:pPr>
              <w:jc w:val="right"/>
            </w:pPr>
            <w:r>
              <w:t>6,000</w:t>
            </w:r>
          </w:p>
        </w:tc>
      </w:tr>
      <w:tr w:rsidR="00BE4183" w:rsidTr="00AF2FC3">
        <w:tc>
          <w:tcPr>
            <w:tcW w:w="0" w:type="auto"/>
          </w:tcPr>
          <w:p w:rsidR="00BE4183" w:rsidRDefault="00BE4183" w:rsidP="00F756BF">
            <w:r>
              <w:t>4.</w:t>
            </w:r>
          </w:p>
        </w:tc>
        <w:tc>
          <w:tcPr>
            <w:tcW w:w="0" w:type="auto"/>
          </w:tcPr>
          <w:p w:rsidR="00BE4183" w:rsidRDefault="00BE4183" w:rsidP="00F756BF">
            <w:r>
              <w:t xml:space="preserve">Lunch </w:t>
            </w:r>
          </w:p>
          <w:p w:rsidR="00BE4183" w:rsidRPr="0063243E" w:rsidRDefault="00BE4183" w:rsidP="00F756BF">
            <w:r>
              <w:t xml:space="preserve">Representatives from satellite groups </w:t>
            </w:r>
          </w:p>
        </w:tc>
        <w:tc>
          <w:tcPr>
            <w:tcW w:w="0" w:type="auto"/>
          </w:tcPr>
          <w:p w:rsidR="00BE4183" w:rsidRDefault="00D96765" w:rsidP="00F756BF">
            <w:r>
              <w:t>3</w:t>
            </w:r>
          </w:p>
        </w:tc>
        <w:tc>
          <w:tcPr>
            <w:tcW w:w="0" w:type="auto"/>
          </w:tcPr>
          <w:p w:rsidR="00BE4183" w:rsidRDefault="00D85A1E" w:rsidP="00F756BF">
            <w:r>
              <w:t>3</w:t>
            </w:r>
            <w:r w:rsidR="00BE4183">
              <w:t>00</w:t>
            </w:r>
          </w:p>
        </w:tc>
        <w:tc>
          <w:tcPr>
            <w:tcW w:w="0" w:type="auto"/>
          </w:tcPr>
          <w:p w:rsidR="00BE4183" w:rsidRDefault="00BE4183" w:rsidP="00AF2FC3">
            <w:pPr>
              <w:jc w:val="right"/>
            </w:pPr>
            <w:r>
              <w:t>2</w:t>
            </w:r>
          </w:p>
        </w:tc>
        <w:tc>
          <w:tcPr>
            <w:tcW w:w="0" w:type="auto"/>
          </w:tcPr>
          <w:p w:rsidR="00BE4183" w:rsidRPr="0063243E" w:rsidRDefault="00D96765" w:rsidP="00AF2FC3">
            <w:pPr>
              <w:jc w:val="right"/>
            </w:pPr>
            <w:r>
              <w:t>1,8</w:t>
            </w:r>
            <w:r w:rsidR="00D85A1E">
              <w:t>00</w:t>
            </w:r>
          </w:p>
        </w:tc>
      </w:tr>
      <w:tr w:rsidR="00BE4183" w:rsidTr="00AF2FC3">
        <w:tc>
          <w:tcPr>
            <w:tcW w:w="0" w:type="auto"/>
          </w:tcPr>
          <w:p w:rsidR="00BE4183" w:rsidRDefault="00BE4183" w:rsidP="00F756BF">
            <w:r>
              <w:t>5.</w:t>
            </w:r>
          </w:p>
        </w:tc>
        <w:tc>
          <w:tcPr>
            <w:tcW w:w="0" w:type="auto"/>
          </w:tcPr>
          <w:p w:rsidR="00BE4183" w:rsidRPr="00E45F33" w:rsidRDefault="00BE4183" w:rsidP="0036041F">
            <w:r>
              <w:t xml:space="preserve">Lunch for KFS rangers </w:t>
            </w:r>
          </w:p>
        </w:tc>
        <w:tc>
          <w:tcPr>
            <w:tcW w:w="0" w:type="auto"/>
          </w:tcPr>
          <w:p w:rsidR="00BE4183" w:rsidRPr="00E45F33" w:rsidRDefault="00BE4183" w:rsidP="0036041F">
            <w:r w:rsidRPr="00E45F33">
              <w:t>2</w:t>
            </w:r>
          </w:p>
        </w:tc>
        <w:tc>
          <w:tcPr>
            <w:tcW w:w="0" w:type="auto"/>
          </w:tcPr>
          <w:p w:rsidR="00BE4183" w:rsidRPr="00E45F33" w:rsidRDefault="00354143" w:rsidP="0036041F">
            <w:r>
              <w:t>750</w:t>
            </w:r>
          </w:p>
        </w:tc>
        <w:tc>
          <w:tcPr>
            <w:tcW w:w="0" w:type="auto"/>
          </w:tcPr>
          <w:p w:rsidR="00BE4183" w:rsidRPr="00E45F33" w:rsidRDefault="00BE4183" w:rsidP="00AF2FC3">
            <w:pPr>
              <w:jc w:val="right"/>
            </w:pPr>
            <w:r>
              <w:t>2</w:t>
            </w:r>
          </w:p>
        </w:tc>
        <w:tc>
          <w:tcPr>
            <w:tcW w:w="0" w:type="auto"/>
          </w:tcPr>
          <w:p w:rsidR="00BE4183" w:rsidRPr="00E45F33" w:rsidRDefault="00354143" w:rsidP="00AF2FC3">
            <w:pPr>
              <w:jc w:val="right"/>
            </w:pPr>
            <w:r>
              <w:t>3</w:t>
            </w:r>
            <w:r w:rsidR="00BE4183">
              <w:t>,</w:t>
            </w:r>
            <w:r w:rsidR="00BE4183" w:rsidRPr="00E45F33">
              <w:t>000</w:t>
            </w:r>
          </w:p>
        </w:tc>
      </w:tr>
      <w:tr w:rsidR="00BE4183" w:rsidTr="00AF2FC3">
        <w:tc>
          <w:tcPr>
            <w:tcW w:w="0" w:type="auto"/>
          </w:tcPr>
          <w:p w:rsidR="00BE4183" w:rsidRDefault="00BE4183" w:rsidP="00F756BF">
            <w:r>
              <w:t>6.</w:t>
            </w:r>
          </w:p>
        </w:tc>
        <w:tc>
          <w:tcPr>
            <w:tcW w:w="0" w:type="auto"/>
          </w:tcPr>
          <w:p w:rsidR="00BE4183" w:rsidRPr="00152D05" w:rsidRDefault="00BE4183" w:rsidP="0036041F">
            <w:r>
              <w:t xml:space="preserve">Lunch for </w:t>
            </w:r>
            <w:r w:rsidRPr="00152D05">
              <w:t>Community forest scout</w:t>
            </w:r>
            <w:r>
              <w:t>s</w:t>
            </w:r>
          </w:p>
        </w:tc>
        <w:tc>
          <w:tcPr>
            <w:tcW w:w="0" w:type="auto"/>
          </w:tcPr>
          <w:p w:rsidR="00BE4183" w:rsidRPr="00152D05" w:rsidRDefault="00D96765" w:rsidP="0036041F">
            <w:r>
              <w:t>1</w:t>
            </w:r>
          </w:p>
        </w:tc>
        <w:tc>
          <w:tcPr>
            <w:tcW w:w="0" w:type="auto"/>
          </w:tcPr>
          <w:p w:rsidR="00BE4183" w:rsidRPr="00152D05" w:rsidRDefault="00BE4183" w:rsidP="0036041F">
            <w:r>
              <w:t>500</w:t>
            </w:r>
          </w:p>
        </w:tc>
        <w:tc>
          <w:tcPr>
            <w:tcW w:w="0" w:type="auto"/>
          </w:tcPr>
          <w:p w:rsidR="00BE4183" w:rsidRPr="00152D05" w:rsidRDefault="00BE4183" w:rsidP="00AF2FC3">
            <w:pPr>
              <w:jc w:val="right"/>
            </w:pPr>
            <w:r>
              <w:t>2</w:t>
            </w:r>
          </w:p>
        </w:tc>
        <w:tc>
          <w:tcPr>
            <w:tcW w:w="0" w:type="auto"/>
          </w:tcPr>
          <w:p w:rsidR="00BE4183" w:rsidRPr="00152D05" w:rsidRDefault="00D96765" w:rsidP="00AF2FC3">
            <w:pPr>
              <w:jc w:val="right"/>
            </w:pPr>
            <w:r>
              <w:t>1</w:t>
            </w:r>
            <w:r w:rsidR="00BE4183" w:rsidRPr="00152D05">
              <w:t>,000</w:t>
            </w:r>
          </w:p>
        </w:tc>
      </w:tr>
      <w:tr w:rsidR="00D85A1E" w:rsidTr="00AF2FC3">
        <w:tc>
          <w:tcPr>
            <w:tcW w:w="0" w:type="auto"/>
          </w:tcPr>
          <w:p w:rsidR="00D85A1E" w:rsidRDefault="00D96765" w:rsidP="00F756BF">
            <w:r>
              <w:t>7</w:t>
            </w:r>
            <w:r w:rsidR="00D85A1E">
              <w:t>.</w:t>
            </w:r>
          </w:p>
        </w:tc>
        <w:tc>
          <w:tcPr>
            <w:tcW w:w="0" w:type="auto"/>
          </w:tcPr>
          <w:p w:rsidR="00D85A1E" w:rsidRPr="0063243E" w:rsidRDefault="00D85A1E" w:rsidP="0036041F">
            <w:r>
              <w:t>C</w:t>
            </w:r>
            <w:r w:rsidRPr="0063243E">
              <w:t>ommunication</w:t>
            </w:r>
          </w:p>
        </w:tc>
        <w:tc>
          <w:tcPr>
            <w:tcW w:w="0" w:type="auto"/>
          </w:tcPr>
          <w:p w:rsidR="00D85A1E" w:rsidRDefault="00D85A1E" w:rsidP="0036041F"/>
        </w:tc>
        <w:tc>
          <w:tcPr>
            <w:tcW w:w="0" w:type="auto"/>
          </w:tcPr>
          <w:p w:rsidR="00D85A1E" w:rsidRDefault="00D85A1E" w:rsidP="0036041F"/>
        </w:tc>
        <w:tc>
          <w:tcPr>
            <w:tcW w:w="0" w:type="auto"/>
          </w:tcPr>
          <w:p w:rsidR="00D85A1E" w:rsidRDefault="00D85A1E" w:rsidP="00AF2FC3">
            <w:pPr>
              <w:jc w:val="right"/>
            </w:pPr>
          </w:p>
        </w:tc>
        <w:tc>
          <w:tcPr>
            <w:tcW w:w="0" w:type="auto"/>
          </w:tcPr>
          <w:p w:rsidR="00D85A1E" w:rsidRPr="0063243E" w:rsidRDefault="00D85A1E" w:rsidP="00D96765">
            <w:pPr>
              <w:jc w:val="right"/>
            </w:pPr>
            <w:r>
              <w:t>1,</w:t>
            </w:r>
            <w:r w:rsidR="00D96765">
              <w:t>2</w:t>
            </w:r>
            <w:r>
              <w:t>00</w:t>
            </w:r>
          </w:p>
        </w:tc>
      </w:tr>
      <w:tr w:rsidR="00D85A1E" w:rsidTr="00AF2FC3">
        <w:tc>
          <w:tcPr>
            <w:tcW w:w="0" w:type="auto"/>
          </w:tcPr>
          <w:p w:rsidR="00D85A1E" w:rsidRDefault="00D85A1E" w:rsidP="00F756BF"/>
        </w:tc>
        <w:tc>
          <w:tcPr>
            <w:tcW w:w="0" w:type="auto"/>
          </w:tcPr>
          <w:p w:rsidR="00D85A1E" w:rsidRPr="00AF2FC3" w:rsidRDefault="00D85A1E" w:rsidP="00F756BF">
            <w:pPr>
              <w:rPr>
                <w:b/>
              </w:rPr>
            </w:pPr>
            <w:r w:rsidRPr="00AF2FC3">
              <w:rPr>
                <w:b/>
              </w:rPr>
              <w:t xml:space="preserve">Total </w:t>
            </w:r>
          </w:p>
        </w:tc>
        <w:tc>
          <w:tcPr>
            <w:tcW w:w="0" w:type="auto"/>
          </w:tcPr>
          <w:p w:rsidR="00D85A1E" w:rsidRPr="00AF2FC3" w:rsidRDefault="00D85A1E" w:rsidP="00F756BF">
            <w:pPr>
              <w:rPr>
                <w:b/>
              </w:rPr>
            </w:pPr>
          </w:p>
        </w:tc>
        <w:tc>
          <w:tcPr>
            <w:tcW w:w="0" w:type="auto"/>
          </w:tcPr>
          <w:p w:rsidR="00D85A1E" w:rsidRPr="00AF2FC3" w:rsidRDefault="00D85A1E" w:rsidP="00F756BF">
            <w:pPr>
              <w:rPr>
                <w:b/>
              </w:rPr>
            </w:pPr>
          </w:p>
        </w:tc>
        <w:tc>
          <w:tcPr>
            <w:tcW w:w="0" w:type="auto"/>
          </w:tcPr>
          <w:p w:rsidR="00D85A1E" w:rsidRPr="00AF2FC3" w:rsidRDefault="00D85A1E" w:rsidP="00AF2FC3">
            <w:pPr>
              <w:jc w:val="right"/>
              <w:rPr>
                <w:b/>
              </w:rPr>
            </w:pPr>
          </w:p>
        </w:tc>
        <w:tc>
          <w:tcPr>
            <w:tcW w:w="0" w:type="auto"/>
          </w:tcPr>
          <w:p w:rsidR="00D85A1E" w:rsidRPr="00AF2FC3" w:rsidRDefault="00E10361" w:rsidP="00354143">
            <w:pPr>
              <w:jc w:val="right"/>
              <w:rPr>
                <w:b/>
              </w:rPr>
            </w:pPr>
            <w:r w:rsidRPr="00AF2FC3">
              <w:rPr>
                <w:b/>
              </w:rPr>
              <w:fldChar w:fldCharType="begin"/>
            </w:r>
            <w:r w:rsidRPr="00AF2FC3">
              <w:rPr>
                <w:b/>
              </w:rPr>
              <w:instrText xml:space="preserve"> =SUM(ABOVE) </w:instrText>
            </w:r>
            <w:r w:rsidRPr="00AF2FC3">
              <w:rPr>
                <w:b/>
              </w:rPr>
              <w:fldChar w:fldCharType="separate"/>
            </w:r>
            <w:r w:rsidRPr="00AF2FC3">
              <w:rPr>
                <w:b/>
              </w:rPr>
              <w:fldChar w:fldCharType="end"/>
            </w:r>
            <w:r w:rsidR="00D96765">
              <w:rPr>
                <w:b/>
              </w:rPr>
              <w:fldChar w:fldCharType="begin"/>
            </w:r>
            <w:r w:rsidR="00D96765">
              <w:rPr>
                <w:b/>
              </w:rPr>
              <w:instrText xml:space="preserve"> =SUM(ABOVE) </w:instrText>
            </w:r>
            <w:r w:rsidR="00D96765">
              <w:rPr>
                <w:b/>
              </w:rPr>
              <w:fldChar w:fldCharType="separate"/>
            </w:r>
            <w:r w:rsidR="00D96765">
              <w:rPr>
                <w:b/>
                <w:noProof/>
              </w:rPr>
              <w:t>16,000</w:t>
            </w:r>
            <w:r w:rsidR="00D96765">
              <w:rPr>
                <w:b/>
              </w:rPr>
              <w:fldChar w:fldCharType="end"/>
            </w:r>
          </w:p>
        </w:tc>
      </w:tr>
    </w:tbl>
    <w:p w:rsidR="00E45F33" w:rsidRDefault="00E45F33" w:rsidP="00E45F33"/>
    <w:p w:rsidR="00E45F33" w:rsidRDefault="00E45F33" w:rsidP="00E45F33"/>
    <w:p w:rsidR="00E45F33" w:rsidRPr="00E45F33" w:rsidRDefault="00E45F33" w:rsidP="00D66271">
      <w:pPr>
        <w:rPr>
          <w:b/>
          <w:u w:val="single"/>
        </w:rPr>
      </w:pPr>
    </w:p>
    <w:sectPr w:rsidR="00E45F33" w:rsidRPr="00E45F33" w:rsidSect="00FF52A0">
      <w:footerReference w:type="default" r:id="rId12"/>
      <w:pgSz w:w="12240" w:h="15840" w:code="1"/>
      <w:pgMar w:top="720" w:right="1080" w:bottom="1267"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3E0" w:rsidRDefault="00D673E0" w:rsidP="00FF52A0">
      <w:r>
        <w:separator/>
      </w:r>
    </w:p>
  </w:endnote>
  <w:endnote w:type="continuationSeparator" w:id="0">
    <w:p w:rsidR="00D673E0" w:rsidRDefault="00D673E0" w:rsidP="00FF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2A0" w:rsidRPr="00FF52A0" w:rsidRDefault="00FF52A0" w:rsidP="00FF52A0">
    <w:pPr>
      <w:pStyle w:val="Footer"/>
      <w:jc w:val="right"/>
      <w:rPr>
        <w:b/>
        <w:i/>
        <w:sz w:val="18"/>
        <w:szCs w:val="18"/>
      </w:rPr>
    </w:pPr>
    <w:r w:rsidRPr="00FF52A0">
      <w:rPr>
        <w:b/>
        <w:i/>
        <w:sz w:val="18"/>
        <w:szCs w:val="18"/>
      </w:rPr>
      <w:t xml:space="preserve">© 2014 Wet season monitoring report by </w:t>
    </w:r>
    <w:proofErr w:type="spellStart"/>
    <w:r w:rsidRPr="00FF52A0">
      <w:rPr>
        <w:b/>
        <w:i/>
        <w:sz w:val="18"/>
        <w:szCs w:val="18"/>
      </w:rPr>
      <w:t>sonabic</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3E0" w:rsidRDefault="00D673E0" w:rsidP="00FF52A0">
      <w:r>
        <w:separator/>
      </w:r>
    </w:p>
  </w:footnote>
  <w:footnote w:type="continuationSeparator" w:id="0">
    <w:p w:rsidR="00D673E0" w:rsidRDefault="00D673E0" w:rsidP="00FF5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41B"/>
    <w:multiLevelType w:val="hybridMultilevel"/>
    <w:tmpl w:val="2D9662E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7571F32"/>
    <w:multiLevelType w:val="hybridMultilevel"/>
    <w:tmpl w:val="D16CCE2E"/>
    <w:lvl w:ilvl="0" w:tplc="0409000D">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236D86"/>
    <w:multiLevelType w:val="hybridMultilevel"/>
    <w:tmpl w:val="F5E86B8C"/>
    <w:lvl w:ilvl="0" w:tplc="BABC2E7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600E3"/>
    <w:multiLevelType w:val="hybridMultilevel"/>
    <w:tmpl w:val="532085A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14484C"/>
    <w:multiLevelType w:val="hybridMultilevel"/>
    <w:tmpl w:val="BF06C85A"/>
    <w:lvl w:ilvl="0" w:tplc="0409000D">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EC5D3C"/>
    <w:multiLevelType w:val="hybridMultilevel"/>
    <w:tmpl w:val="13F29D0E"/>
    <w:lvl w:ilvl="0" w:tplc="BABC2E7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6A57832"/>
    <w:multiLevelType w:val="hybridMultilevel"/>
    <w:tmpl w:val="1AFCB0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C9156E"/>
    <w:multiLevelType w:val="hybridMultilevel"/>
    <w:tmpl w:val="BE346F7E"/>
    <w:lvl w:ilvl="0" w:tplc="5C6876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D64107"/>
    <w:multiLevelType w:val="hybridMultilevel"/>
    <w:tmpl w:val="EE946422"/>
    <w:lvl w:ilvl="0" w:tplc="BABC2E7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4554CF6"/>
    <w:multiLevelType w:val="hybridMultilevel"/>
    <w:tmpl w:val="7AF46960"/>
    <w:lvl w:ilvl="0" w:tplc="DD3E2F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8"/>
  </w:num>
  <w:num w:numId="6">
    <w:abstractNumId w:val="0"/>
  </w:num>
  <w:num w:numId="7">
    <w:abstractNumId w:val="1"/>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DC"/>
    <w:rsid w:val="00121712"/>
    <w:rsid w:val="00152D05"/>
    <w:rsid w:val="001A2F6B"/>
    <w:rsid w:val="00207EB9"/>
    <w:rsid w:val="00256221"/>
    <w:rsid w:val="002A342E"/>
    <w:rsid w:val="002B2445"/>
    <w:rsid w:val="00354143"/>
    <w:rsid w:val="00355DDF"/>
    <w:rsid w:val="0036041F"/>
    <w:rsid w:val="0040252F"/>
    <w:rsid w:val="00457F08"/>
    <w:rsid w:val="00484574"/>
    <w:rsid w:val="004E36A4"/>
    <w:rsid w:val="005C6DFC"/>
    <w:rsid w:val="005D3EBF"/>
    <w:rsid w:val="005E0824"/>
    <w:rsid w:val="006209EA"/>
    <w:rsid w:val="00672EDD"/>
    <w:rsid w:val="006F4E40"/>
    <w:rsid w:val="0074527B"/>
    <w:rsid w:val="007C0145"/>
    <w:rsid w:val="007C04EA"/>
    <w:rsid w:val="008052FA"/>
    <w:rsid w:val="008B6975"/>
    <w:rsid w:val="009531D0"/>
    <w:rsid w:val="00976F9D"/>
    <w:rsid w:val="009B7DEA"/>
    <w:rsid w:val="00A11A8C"/>
    <w:rsid w:val="00A20124"/>
    <w:rsid w:val="00A330D8"/>
    <w:rsid w:val="00AA5782"/>
    <w:rsid w:val="00AB3F22"/>
    <w:rsid w:val="00AD0125"/>
    <w:rsid w:val="00AD285E"/>
    <w:rsid w:val="00AF2FC3"/>
    <w:rsid w:val="00AF3EAF"/>
    <w:rsid w:val="00B059CA"/>
    <w:rsid w:val="00B25B0F"/>
    <w:rsid w:val="00B279BE"/>
    <w:rsid w:val="00B67B19"/>
    <w:rsid w:val="00BE4183"/>
    <w:rsid w:val="00C2730C"/>
    <w:rsid w:val="00C27A42"/>
    <w:rsid w:val="00C51CF6"/>
    <w:rsid w:val="00D04305"/>
    <w:rsid w:val="00D66271"/>
    <w:rsid w:val="00D673E0"/>
    <w:rsid w:val="00D85A1E"/>
    <w:rsid w:val="00D96765"/>
    <w:rsid w:val="00DA6D2F"/>
    <w:rsid w:val="00DD01A7"/>
    <w:rsid w:val="00DF4DF2"/>
    <w:rsid w:val="00E062A1"/>
    <w:rsid w:val="00E10361"/>
    <w:rsid w:val="00E45F33"/>
    <w:rsid w:val="00E83A73"/>
    <w:rsid w:val="00F23358"/>
    <w:rsid w:val="00F5372B"/>
    <w:rsid w:val="00F65F46"/>
    <w:rsid w:val="00F756BF"/>
    <w:rsid w:val="00FB41DC"/>
    <w:rsid w:val="00FF5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2A782F9-AF3D-47FC-B4FA-A90D64C1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A342E"/>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B41DC"/>
    <w:rPr>
      <w:color w:val="0000FF"/>
      <w:u w:val="single"/>
    </w:rPr>
  </w:style>
  <w:style w:type="table" w:styleId="TableGrid">
    <w:name w:val="Table Grid"/>
    <w:basedOn w:val="TableNormal"/>
    <w:rsid w:val="00E45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A342E"/>
    <w:rPr>
      <w:rFonts w:ascii="Arial" w:hAnsi="Arial" w:cs="Arial"/>
      <w:b/>
      <w:bCs/>
      <w:kern w:val="32"/>
      <w:sz w:val="32"/>
      <w:szCs w:val="32"/>
    </w:rPr>
  </w:style>
  <w:style w:type="paragraph" w:styleId="Header">
    <w:name w:val="header"/>
    <w:basedOn w:val="Normal"/>
    <w:link w:val="HeaderChar"/>
    <w:rsid w:val="00FF52A0"/>
    <w:pPr>
      <w:tabs>
        <w:tab w:val="center" w:pos="4680"/>
        <w:tab w:val="right" w:pos="9360"/>
      </w:tabs>
    </w:pPr>
  </w:style>
  <w:style w:type="character" w:customStyle="1" w:styleId="HeaderChar">
    <w:name w:val="Header Char"/>
    <w:basedOn w:val="DefaultParagraphFont"/>
    <w:link w:val="Header"/>
    <w:rsid w:val="00FF52A0"/>
    <w:rPr>
      <w:sz w:val="24"/>
      <w:szCs w:val="24"/>
    </w:rPr>
  </w:style>
  <w:style w:type="paragraph" w:styleId="Footer">
    <w:name w:val="footer"/>
    <w:basedOn w:val="Normal"/>
    <w:link w:val="FooterChar"/>
    <w:rsid w:val="00FF52A0"/>
    <w:pPr>
      <w:tabs>
        <w:tab w:val="center" w:pos="4680"/>
        <w:tab w:val="right" w:pos="9360"/>
      </w:tabs>
    </w:pPr>
  </w:style>
  <w:style w:type="character" w:customStyle="1" w:styleId="FooterChar">
    <w:name w:val="Footer Char"/>
    <w:basedOn w:val="DefaultParagraphFont"/>
    <w:link w:val="Footer"/>
    <w:rsid w:val="00FF52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Sonabic</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Ogilo</cp:lastModifiedBy>
  <cp:revision>2</cp:revision>
  <dcterms:created xsi:type="dcterms:W3CDTF">2020-05-25T02:08:00Z</dcterms:created>
  <dcterms:modified xsi:type="dcterms:W3CDTF">2020-05-25T02:08:00Z</dcterms:modified>
</cp:coreProperties>
</file>